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F86CBC" w14:textId="7ADAC517" w:rsidR="00FF53E8" w:rsidRDefault="00A5471C" w:rsidP="00D216E7">
      <w:pPr>
        <w:pStyle w:val="H1MBridge"/>
      </w:pPr>
      <w:r>
        <w:t>Oświetlenie budynków a nadchodzące regulacje UE – kalendarium zmian, na które musisz być gotowy</w:t>
      </w:r>
    </w:p>
    <w:p w14:paraId="28706C9F" w14:textId="6B52CD10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„Największy indywidualny konsument energii w Europie” – </w:t>
      </w:r>
      <w:r>
        <w:rPr>
          <w:b/>
          <w:bCs/>
          <w:sz w:val="24"/>
          <w:szCs w:val="24"/>
        </w:rPr>
        <w:t>właśnie na takie określenie zasłużyły sobie budynki, które odpowiadają aż za 40% zużycia energii i 36% emisji gazów cieplarnianych.</w:t>
      </w:r>
      <w:r>
        <w:rPr>
          <w:sz w:val="24"/>
          <w:szCs w:val="24"/>
        </w:rPr>
        <w:t xml:space="preserve"> Nic więc dziwnego, że to właśnie ten sektor znalazł się w centrum unijnych regulacji klimatycznych. Najbliższe lata przyniosą szereg zmian prawnych, które wpłyną na sposób projektowania, modernizacji i zarządzania budynkami, w tym systemami oświetleniowymi. </w:t>
      </w:r>
    </w:p>
    <w:p w14:paraId="7C03E135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Najważniejsze z nich przedstawiamy poniżej wraz z kalendarium wdrożeń – żebyś Ty mógł się odpowiednio i z wyprzedzeniem przygotować na nowe przepisy. </w:t>
      </w:r>
    </w:p>
    <w:p w14:paraId="3BE3991A" w14:textId="77777777" w:rsidR="00FF53E8" w:rsidRDefault="00A5471C" w:rsidP="00D216E7">
      <w:pPr>
        <w:pStyle w:val="H2MBridge"/>
      </w:pPr>
      <w:r>
        <w:t xml:space="preserve">Dyrektywa EPBD – nowe regulacje dla dekarbonizacji zasobów budowlanych </w:t>
      </w:r>
    </w:p>
    <w:p w14:paraId="2575552F" w14:textId="77777777" w:rsidR="00FF53E8" w:rsidRDefault="00A5471C">
      <w:pPr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Dyrektywa EPBD (Energy Performance of </w:t>
      </w:r>
      <w:proofErr w:type="spellStart"/>
      <w:r>
        <w:rPr>
          <w:b/>
          <w:bCs/>
          <w:sz w:val="24"/>
          <w:szCs w:val="24"/>
        </w:rPr>
        <w:t>Buildings</w:t>
      </w:r>
      <w:proofErr w:type="spellEnd"/>
      <w:r>
        <w:rPr>
          <w:b/>
          <w:bCs/>
          <w:sz w:val="24"/>
          <w:szCs w:val="24"/>
        </w:rPr>
        <w:t xml:space="preserve"> Directive) stanowi kluczowy akt prawny Unii Europejskiej dotyczący charakterystyki energetycznej budynków.</w:t>
      </w:r>
      <w:r>
        <w:rPr>
          <w:sz w:val="24"/>
          <w:szCs w:val="24"/>
        </w:rPr>
        <w:t xml:space="preserve"> Jej znowelizowana wersja (UE 2024/1275) została przyjęta w 2024 roku i wpisuje się w cele pakietu „Gotowi na 55” oraz Europejskiego Zielonego Ładu. EPBD zakłada m.in.:</w:t>
      </w:r>
    </w:p>
    <w:p w14:paraId="2151C4A4" w14:textId="77777777" w:rsidR="00FF53E8" w:rsidRDefault="00A5471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8" w:lineRule="auto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stopniowe przechodzenie na budynki </w:t>
      </w:r>
      <w:proofErr w:type="spellStart"/>
      <w:r>
        <w:rPr>
          <w:b/>
          <w:bCs/>
          <w:color w:val="000000"/>
          <w:sz w:val="24"/>
          <w:szCs w:val="24"/>
        </w:rPr>
        <w:t>bezemisyjne</w:t>
      </w:r>
      <w:proofErr w:type="spellEnd"/>
      <w:r>
        <w:rPr>
          <w:color w:val="000000"/>
          <w:sz w:val="24"/>
          <w:szCs w:val="24"/>
        </w:rPr>
        <w:t xml:space="preserve"> (nowe obiekty publiczne od 2028 r., wszystkie nowe budynki mieszkaniowe i niemieszkalne od 2030 r.),</w:t>
      </w:r>
    </w:p>
    <w:p w14:paraId="58F195E1" w14:textId="77777777" w:rsidR="00FF53E8" w:rsidRDefault="00A5471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8" w:lineRule="auto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zwiększenie tempa renowacji istniejących budynków</w:t>
      </w:r>
      <w:r>
        <w:rPr>
          <w:color w:val="000000"/>
          <w:sz w:val="24"/>
          <w:szCs w:val="24"/>
        </w:rPr>
        <w:t xml:space="preserve">, szczególnie tych o najgorszej charakterystyce energetycznej, </w:t>
      </w:r>
    </w:p>
    <w:p w14:paraId="470FAB76" w14:textId="77777777" w:rsidR="00FF53E8" w:rsidRDefault="00A5471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8" w:lineRule="auto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obowiązkowe wdrażanie systemów automatyki i sterowania budynkiem (BACS)</w:t>
      </w:r>
      <w:r>
        <w:rPr>
          <w:color w:val="000000"/>
          <w:sz w:val="24"/>
          <w:szCs w:val="24"/>
        </w:rPr>
        <w:t>, w tym automatycznego sterowania oświetleniem.</w:t>
      </w:r>
    </w:p>
    <w:p w14:paraId="3F3195B9" w14:textId="77777777" w:rsidR="00FF53E8" w:rsidRDefault="00A5471C" w:rsidP="00D216E7">
      <w:pPr>
        <w:pStyle w:val="H2MBridge"/>
      </w:pPr>
      <w:r>
        <w:t>Automatyczne sterowanie oświetleniem – jak kształtują się wytyczne?</w:t>
      </w:r>
    </w:p>
    <w:p w14:paraId="6C49BB76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Przepisy jasno wskazują, które dokładnie budynki (o jakim progu mocy systemów technicznych) i w jakim terminie muszą wprowadzić automatyczne sterowanie oświetleniem:  </w:t>
      </w:r>
    </w:p>
    <w:p w14:paraId="63A9953A" w14:textId="77777777" w:rsidR="00FF53E8" w:rsidRDefault="00A5471C">
      <w:pPr>
        <w:numPr>
          <w:ilvl w:val="0"/>
          <w:numId w:val="2"/>
        </w:numPr>
        <w:spacing w:line="240" w:lineRule="auto"/>
        <w:ind w:left="714" w:hanging="357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do 31 grudnia 2027 r. obowiązek obejmie budynki o mocy systemów technicznych powyżej 290 kW,</w:t>
      </w:r>
    </w:p>
    <w:p w14:paraId="7BCEB98B" w14:textId="77777777" w:rsidR="00FF53E8" w:rsidRDefault="00A5471C">
      <w:pPr>
        <w:numPr>
          <w:ilvl w:val="0"/>
          <w:numId w:val="2"/>
        </w:numPr>
        <w:spacing w:line="240" w:lineRule="auto"/>
        <w:ind w:left="714" w:hanging="357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do 31 grudnia 2029 r. obowiązek zostanie rozszerzony na budynki powyżej 70 </w:t>
      </w:r>
      <w:proofErr w:type="spellStart"/>
      <w:r>
        <w:rPr>
          <w:b/>
          <w:bCs/>
          <w:sz w:val="24"/>
          <w:szCs w:val="24"/>
        </w:rPr>
        <w:t>kW.</w:t>
      </w:r>
      <w:proofErr w:type="spellEnd"/>
    </w:p>
    <w:p w14:paraId="44B103C7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>Samo sterowanie to jednak nie wszystko – w celu optymalizacji oświetlenia wdrożone systemy BACS muszą również:</w:t>
      </w:r>
    </w:p>
    <w:p w14:paraId="55EAD3EA" w14:textId="77777777" w:rsidR="00FF53E8" w:rsidRDefault="00A5471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8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monitorować, rejestrować i analizować zużycie energii, </w:t>
      </w:r>
    </w:p>
    <w:p w14:paraId="2CD0A40E" w14:textId="77777777" w:rsidR="00FF53E8" w:rsidRDefault="00A5471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8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wykrywać straty efektywności w czasie rzeczywistym, </w:t>
      </w:r>
    </w:p>
    <w:p w14:paraId="5B328414" w14:textId="77777777" w:rsidR="00FF53E8" w:rsidRDefault="00A5471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8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wykrywać obecność w różnych strefach budynku,</w:t>
      </w:r>
    </w:p>
    <w:p w14:paraId="3C01C8AF" w14:textId="77777777" w:rsidR="00FF53E8" w:rsidRDefault="00A5471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8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integrować się z innymi technicznymi instalacjami.</w:t>
      </w:r>
    </w:p>
    <w:p w14:paraId="2B7CBE1D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 co ma się przełożyć dostosowanie do tego obowiązku? </w:t>
      </w:r>
      <w:r>
        <w:rPr>
          <w:b/>
          <w:bCs/>
          <w:sz w:val="24"/>
          <w:szCs w:val="24"/>
        </w:rPr>
        <w:t>Wdrożenie automatycznego systemu sterowania oświetleniem ma zwiększyć komfort oraz bezpieczeństwo użytkowników, a także zapewnić redukcję kosztów eksploatacyjnych budynków.</w:t>
      </w:r>
      <w:r>
        <w:rPr>
          <w:sz w:val="24"/>
          <w:szCs w:val="24"/>
        </w:rPr>
        <w:t xml:space="preserve"> </w:t>
      </w:r>
    </w:p>
    <w:p w14:paraId="6B961E86" w14:textId="77777777" w:rsidR="00FF53E8" w:rsidRDefault="00A5471C" w:rsidP="00D216E7">
      <w:pPr>
        <w:pStyle w:val="H2MBridge"/>
      </w:pPr>
      <w:r>
        <w:t>Oświetlenie budynków – jakie jeszcze dyrektywy musisz mieć na uwadze?</w:t>
      </w:r>
    </w:p>
    <w:p w14:paraId="791DD929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>Choć EPBD wysuwa się obecnie na pierwszy plan, nie jest jedyną regulacją wpływającą na rynek oświetleniowy, do których musisz się w najbliższym czasie dostosować. Istotne są również:</w:t>
      </w:r>
    </w:p>
    <w:p w14:paraId="0920FC0C" w14:textId="77777777" w:rsidR="00FF53E8" w:rsidRDefault="00A5471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8" w:lineRule="auto"/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color w:val="000000"/>
          <w:sz w:val="24"/>
          <w:szCs w:val="24"/>
          <w:u w:val="single"/>
        </w:rPr>
        <w:t>Dyrektywa w sprawie efektywności energetycznej (EED)</w:t>
      </w:r>
    </w:p>
    <w:p w14:paraId="51721F77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Dyrektywa EED nakłada na państwa członkowskie obowiązek zmniejszenia zużycia energii finalnej o co najmniej 1,5% rocznie do 2030 roku. Wskazuje również, że coroczna renowacja 3% budynków administracji publicznej musi spełniać minimalne wymagania efektywności energetycznej. </w:t>
      </w:r>
    </w:p>
    <w:p w14:paraId="222E0088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Nowe przepisy wymuszają na instytucjach publicznych zakup jedynie </w:t>
      </w:r>
      <w:proofErr w:type="spellStart"/>
      <w:r>
        <w:rPr>
          <w:sz w:val="24"/>
          <w:szCs w:val="24"/>
        </w:rPr>
        <w:t>wysokoenergoszczędnych</w:t>
      </w:r>
      <w:proofErr w:type="spellEnd"/>
      <w:r>
        <w:rPr>
          <w:sz w:val="24"/>
          <w:szCs w:val="24"/>
        </w:rPr>
        <w:t xml:space="preserve"> produktów, usług i budynków. Co więcej, przekładają się na konieczność modernizacji infrastruktury technicznej, w tym oświetleniowej, z wykorzystaniem technologii LED oraz inteligentnych systemów sterowania. Tym samym dyrektywa EED w praktyce wzmacnia wymagania EPBD.</w:t>
      </w:r>
    </w:p>
    <w:p w14:paraId="59D73540" w14:textId="77777777" w:rsidR="00FF53E8" w:rsidRDefault="00A5471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8" w:lineRule="auto"/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color w:val="000000"/>
          <w:sz w:val="24"/>
          <w:szCs w:val="24"/>
          <w:u w:val="single"/>
        </w:rPr>
        <w:t>Dyrektywa ograniczająca użycie niebezpiecznych substancji w sprzęcie elektrycznym i elektronicznym (</w:t>
      </w:r>
      <w:proofErr w:type="spellStart"/>
      <w:r>
        <w:rPr>
          <w:b/>
          <w:bCs/>
          <w:color w:val="000000"/>
          <w:sz w:val="24"/>
          <w:szCs w:val="24"/>
          <w:u w:val="single"/>
        </w:rPr>
        <w:t>RoHS</w:t>
      </w:r>
      <w:proofErr w:type="spellEnd"/>
      <w:r>
        <w:rPr>
          <w:b/>
          <w:bCs/>
          <w:color w:val="000000"/>
          <w:sz w:val="24"/>
          <w:szCs w:val="24"/>
          <w:u w:val="single"/>
        </w:rPr>
        <w:t>)</w:t>
      </w:r>
    </w:p>
    <w:p w14:paraId="3022BBE8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Wprowadzenie dyrektywy </w:t>
      </w:r>
      <w:proofErr w:type="spellStart"/>
      <w:r>
        <w:rPr>
          <w:sz w:val="24"/>
          <w:szCs w:val="24"/>
        </w:rPr>
        <w:t>RoHS</w:t>
      </w:r>
      <w:proofErr w:type="spellEnd"/>
      <w:r>
        <w:rPr>
          <w:sz w:val="24"/>
          <w:szCs w:val="24"/>
        </w:rPr>
        <w:t xml:space="preserve"> oznacza dla rynku oświetleniowego stopniowe, ale nieodwracalne wycofywanie konwencjonalnych źródeł światła. Już od 2023 roku obowiązuje zakaz wprowadzania do obrotu świetlówek T8, T5 oraz CFL-Ni. W 2027 roku wycofane mają zostać z kolei wysokoprężne lampy sodowe. </w:t>
      </w:r>
    </w:p>
    <w:p w14:paraId="3F8F7D16" w14:textId="77777777" w:rsidR="00FF53E8" w:rsidRDefault="00A5471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8" w:lineRule="auto"/>
        <w:jc w:val="both"/>
        <w:rPr>
          <w:b/>
          <w:bCs/>
          <w:color w:val="000000"/>
          <w:sz w:val="24"/>
          <w:szCs w:val="24"/>
          <w:u w:val="single"/>
        </w:rPr>
      </w:pPr>
      <w:r>
        <w:rPr>
          <w:b/>
          <w:bCs/>
          <w:color w:val="000000"/>
          <w:sz w:val="24"/>
          <w:szCs w:val="24"/>
          <w:u w:val="single"/>
        </w:rPr>
        <w:t xml:space="preserve">Rozporządzenie w sprawie </w:t>
      </w:r>
      <w:proofErr w:type="spellStart"/>
      <w:r>
        <w:rPr>
          <w:b/>
          <w:bCs/>
          <w:color w:val="000000"/>
          <w:sz w:val="24"/>
          <w:szCs w:val="24"/>
          <w:u w:val="single"/>
        </w:rPr>
        <w:t>ekoprojektu</w:t>
      </w:r>
      <w:proofErr w:type="spellEnd"/>
      <w:r>
        <w:rPr>
          <w:b/>
          <w:bCs/>
          <w:color w:val="000000"/>
          <w:sz w:val="24"/>
          <w:szCs w:val="24"/>
          <w:u w:val="single"/>
        </w:rPr>
        <w:t xml:space="preserve"> dla zrównoważonych produktów (ESPR)</w:t>
      </w:r>
    </w:p>
    <w:p w14:paraId="7EBE8B9B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Rozporządzenie ESPR obowiązuje od 2024 roku i wprowadza nowe podejście do projektowania produktów, w tym opraw i systemów oświetleniowych. Jego celem jest wspieranie gospodarki cyrkularnej oraz ograniczenie wpływu produktów na środowisko w całym cyklu życia. Aby spełnić wymogi ESPR, nowe oprawy i źródła światła muszą być łatwe w konserwacji i długotrwałe. </w:t>
      </w:r>
    </w:p>
    <w:p w14:paraId="6EFEB89C" w14:textId="77777777" w:rsidR="00FF53E8" w:rsidRDefault="00A5471C" w:rsidP="00D216E7">
      <w:pPr>
        <w:pStyle w:val="H2MBridge"/>
      </w:pPr>
      <w:r>
        <w:t xml:space="preserve">Kalendarium regulacji – co się zmieni i kiedy? </w:t>
      </w:r>
    </w:p>
    <w:p w14:paraId="3CFD29E4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>Aby ułatwić przygotowanie się do nadchodzących wymagań, poniżej przedstawiamy kalendarium kluczowych zmian:</w:t>
      </w:r>
    </w:p>
    <w:p w14:paraId="573CD4FC" w14:textId="77777777" w:rsidR="00FF53E8" w:rsidRDefault="00A5471C">
      <w:pPr>
        <w:jc w:val="both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29 maja 2026  – transpozycja EPBD do prawa krajowego</w:t>
      </w:r>
    </w:p>
    <w:p w14:paraId="53C3BA7C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>Państwa członkowskie Unii Europejskiej mają dwa lata na przeniesienie przepisów znowelizowanej w 2024 roku dyrektywy EPBD do prawa krajowego. Oznacza to, że w 2026 roku nowe wymagania zaczną funkcjonować w krajowych regulacjach, a inwestorzy i właściciele budynków będą musieli uwzględniać je w planach modernizacyjnych i inwestycyjnych.</w:t>
      </w:r>
    </w:p>
    <w:p w14:paraId="16D61951" w14:textId="77777777" w:rsidR="00FF53E8" w:rsidRDefault="00A5471C">
      <w:pPr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29 maja 2026 – monitoring jakości środowiska wewnętrznego (IEQ)</w:t>
      </w:r>
    </w:p>
    <w:p w14:paraId="2E95EBFA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Obowiązkowe stanie się monitorowanie jakości środowiska wewnętrznego (m.in. jakości powietrza, oświetlenia, komfortu cieplnego czy akustyki), w czym pomóc mają systemy automatyki i sterowania budynków. </w:t>
      </w:r>
    </w:p>
    <w:p w14:paraId="488AAE76" w14:textId="77777777" w:rsidR="00FF53E8" w:rsidRDefault="00A5471C">
      <w:pPr>
        <w:jc w:val="both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 xml:space="preserve">24 lutego 2027 – wycofanie wysokoprężnych lamp sodowych </w:t>
      </w:r>
    </w:p>
    <w:p w14:paraId="0B53BA24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Od tej daty planowane jest wycofanie wysokoprężnych lamp sodowych, co przekłada się na konieczność wcześniejszego zaplanowania modernizacji oświetlenia. </w:t>
      </w:r>
    </w:p>
    <w:p w14:paraId="26189F51" w14:textId="77777777" w:rsidR="00FF53E8" w:rsidRDefault="00A5471C">
      <w:pPr>
        <w:jc w:val="both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30 czerwca 2027 – wskaźnik gotowości budynku do inteligencji (SRI)</w:t>
      </w:r>
    </w:p>
    <w:p w14:paraId="19A4AEA9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Wprowadzony zostanie Smart Readiness </w:t>
      </w:r>
      <w:proofErr w:type="spellStart"/>
      <w:r>
        <w:rPr>
          <w:sz w:val="24"/>
          <w:szCs w:val="24"/>
        </w:rPr>
        <w:t>Indicator</w:t>
      </w:r>
      <w:proofErr w:type="spellEnd"/>
      <w:r>
        <w:rPr>
          <w:sz w:val="24"/>
          <w:szCs w:val="24"/>
        </w:rPr>
        <w:t>, czyli wskaźnik oceniający, na ile budynek jest przygotowany do inteligentnego zarządzania energią i instalacjami technicznymi.</w:t>
      </w:r>
    </w:p>
    <w:p w14:paraId="5DCD40C4" w14:textId="77777777" w:rsidR="00FF53E8" w:rsidRDefault="00A5471C">
      <w:pPr>
        <w:jc w:val="both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31 grudnia 2027 – automatyczne sterowanie oświetleniem w budynkach &gt;290 kW</w:t>
      </w:r>
    </w:p>
    <w:p w14:paraId="263A81F6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>Do tego terminu budynki niemieszkalne o mocy zainstalowanej systemów technicznych powyżej 290 kW muszą zostać wyposażone w automatyczne sterowanie oświetleniem (BACS) z funkcją wykrywania obecności oraz integracją z innymi systemami budynku.</w:t>
      </w:r>
    </w:p>
    <w:p w14:paraId="2D987D48" w14:textId="77777777" w:rsidR="00FF53E8" w:rsidRDefault="00A5471C">
      <w:pPr>
        <w:jc w:val="both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31 grudnia 2029 – rozszerzenie obowiązku automatycznego sterowania oświetleniem na budynki &gt;70 kW</w:t>
      </w:r>
    </w:p>
    <w:p w14:paraId="4E0AEE80" w14:textId="77777777" w:rsidR="00FF53E8" w:rsidRDefault="00A5471C" w:rsidP="00D216E7">
      <w:pPr>
        <w:pStyle w:val="H2MBridge"/>
      </w:pPr>
      <w:r>
        <w:t>Oświetleniowe regulacje UE – podsumowanie</w:t>
      </w:r>
    </w:p>
    <w:p w14:paraId="146C78F2" w14:textId="77777777" w:rsidR="00FF53E8" w:rsidRDefault="00A5471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Nadchodzące regulacje UE jasno pokazują, że oświetlenie stanowi istotny element realizacji celów energetycznych i klimatycznych. Z tego powodu właściciele i zarządcy muszą myśleć długofalowo, by realizowane dzisiaj projekty i modernizacje nie tylko odpowiadały bieżącym potrzebom, ale również spełniały przyszłe wymagania. </w:t>
      </w:r>
    </w:p>
    <w:p w14:paraId="6A65320D" w14:textId="2CD242FC" w:rsidR="00FF53E8" w:rsidRPr="00253843" w:rsidRDefault="00A5471C" w:rsidP="00253843">
      <w:pPr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W </w:t>
      </w:r>
      <w:proofErr w:type="spellStart"/>
      <w:r>
        <w:rPr>
          <w:b/>
          <w:bCs/>
          <w:sz w:val="24"/>
          <w:szCs w:val="24"/>
        </w:rPr>
        <w:t>Signify</w:t>
      </w:r>
      <w:proofErr w:type="spellEnd"/>
      <w:r>
        <w:rPr>
          <w:b/>
          <w:bCs/>
          <w:sz w:val="24"/>
          <w:szCs w:val="24"/>
        </w:rPr>
        <w:t xml:space="preserve"> na bieżąco śledzimy zmiany regulacyjne i pomagamy przygotować się na nadchodzące obowiązki.</w:t>
      </w:r>
      <w:r>
        <w:rPr>
          <w:sz w:val="24"/>
          <w:szCs w:val="24"/>
        </w:rPr>
        <w:t xml:space="preserve"> Skontaktuj się z naszymi ekspertami, aby sprawdzić, jak dostosować oświetlenie w Twoim budynku do nowych przepisów i zaplanować modernizację krok po kroku! </w:t>
      </w:r>
    </w:p>
    <w:sectPr w:rsidR="00FF53E8" w:rsidRPr="00253843">
      <w:headerReference w:type="even" r:id="rId11"/>
      <w:headerReference w:type="default" r:id="rId12"/>
      <w:head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142862" w14:textId="77777777" w:rsidR="00A5471C" w:rsidRDefault="00A5471C">
      <w:pPr>
        <w:spacing w:after="0" w:line="240" w:lineRule="auto"/>
      </w:pPr>
      <w:r>
        <w:separator/>
      </w:r>
    </w:p>
  </w:endnote>
  <w:endnote w:type="continuationSeparator" w:id="0">
    <w:p w14:paraId="1685B39E" w14:textId="77777777" w:rsidR="00A5471C" w:rsidRDefault="00A547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9329A0E3-0D7D-42D8-84E4-5442F761125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EE5B116D-6718-446F-82E4-6F29916DAE5A}"/>
    <w:embedBold r:id="rId3" w:fontKey="{2B824F73-9917-465C-A4D1-E3FDA89B5C6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D86ED403-FC80-4F97-9556-A0CC55FE1520}"/>
    <w:embedBold r:id="rId5" w:fontKey="{AC7DA498-2950-4786-8D9D-75D97EECE3E4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DC3AE8E5-34C4-4BE5-A518-7B6D14E8869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7" w:fontKey="{BFABD73E-9195-4F53-87F5-89336AF98020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8" w:fontKey="{168041FC-6362-4625-9468-0368A3F94D76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6F565F" w14:textId="77777777" w:rsidR="00A5471C" w:rsidRDefault="00A5471C">
      <w:pPr>
        <w:spacing w:after="0" w:line="240" w:lineRule="auto"/>
      </w:pPr>
      <w:r>
        <w:separator/>
      </w:r>
    </w:p>
  </w:footnote>
  <w:footnote w:type="continuationSeparator" w:id="0">
    <w:p w14:paraId="34F616B5" w14:textId="77777777" w:rsidR="00A5471C" w:rsidRDefault="00A547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79AC2F" w14:textId="4A3B0B96" w:rsidR="003D73BB" w:rsidRDefault="003D73BB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563863D0" wp14:editId="7D5B061C">
              <wp:simplePos x="635" y="635"/>
              <wp:positionH relativeFrom="page">
                <wp:align>left</wp:align>
              </wp:positionH>
              <wp:positionV relativeFrom="page">
                <wp:align>top</wp:align>
              </wp:positionV>
              <wp:extent cx="777875" cy="352425"/>
              <wp:effectExtent l="0" t="0" r="3175" b="9525"/>
              <wp:wrapNone/>
              <wp:docPr id="1684536354" name="Text Box 2" descr="Classifi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875" cy="3524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70530DF" w14:textId="6D309F45" w:rsidR="003D73BB" w:rsidRPr="003D73BB" w:rsidRDefault="003D73BB" w:rsidP="003D73BB">
                          <w:pPr>
                            <w:spacing w:after="0"/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3D73BB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  <w:t>Classified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63863D0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Classified" style="position:absolute;margin-left:0;margin-top:0;width:61.25pt;height:27.75pt;z-index:251659264;visibility:visible;mso-wrap-style:none;mso-wrap-distance-left:0;mso-wrap-distance-top:0;mso-wrap-distance-right:0;mso-wrap-distance-bottom:0;mso-position-horizontal:lef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" filled="f" stroked="f">
              <v:fill o:detectmouseclick="t"/>
              <v:textbox style="mso-fit-shape-to-text:t" inset="20pt,15pt,0,0">
                <w:txbxContent>
                  <w:p w14:paraId="070530DF" w14:textId="6D309F45" w:rsidR="003D73BB" w:rsidRPr="003D73BB" w:rsidRDefault="003D73BB" w:rsidP="003D73BB">
                    <w:pPr>
                      <w:spacing w:after="0"/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</w:pPr>
                    <w:r w:rsidRPr="003D73BB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  <w:t>Classified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8D8112" w14:textId="17449948" w:rsidR="00FF53E8" w:rsidRDefault="003D73B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600" w:line="240" w:lineRule="auto"/>
      <w:rPr>
        <w:color w:val="000000"/>
      </w:rPr>
    </w:pPr>
    <w:r>
      <w:rPr>
        <w:noProof/>
        <w:color w:val="000000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3DB9140E" wp14:editId="193C0B60">
              <wp:simplePos x="635" y="635"/>
              <wp:positionH relativeFrom="page">
                <wp:align>left</wp:align>
              </wp:positionH>
              <wp:positionV relativeFrom="page">
                <wp:align>top</wp:align>
              </wp:positionV>
              <wp:extent cx="777875" cy="352425"/>
              <wp:effectExtent l="0" t="0" r="3175" b="9525"/>
              <wp:wrapNone/>
              <wp:docPr id="487726165" name="Text Box 3" descr="Classifi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875" cy="3524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3891C9E" w14:textId="4E1BBD5A" w:rsidR="003D73BB" w:rsidRPr="003D73BB" w:rsidRDefault="003D73BB" w:rsidP="003D73BB">
                          <w:pPr>
                            <w:spacing w:after="0"/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3D73BB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  <w:t>Classified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DB9140E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alt="Classified" style="position:absolute;margin-left:0;margin-top:0;width:61.25pt;height:27.75pt;z-index:251660288;visibility:visible;mso-wrap-style:none;mso-wrap-distance-left:0;mso-wrap-distance-top:0;mso-wrap-distance-right:0;mso-wrap-distance-bottom:0;mso-position-horizontal:lef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" filled="f" stroked="f">
              <v:fill o:detectmouseclick="t"/>
              <v:textbox style="mso-fit-shape-to-text:t" inset="20pt,15pt,0,0">
                <w:txbxContent>
                  <w:p w14:paraId="53891C9E" w14:textId="4E1BBD5A" w:rsidR="003D73BB" w:rsidRPr="003D73BB" w:rsidRDefault="003D73BB" w:rsidP="003D73BB">
                    <w:pPr>
                      <w:spacing w:after="0"/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</w:pPr>
                    <w:r w:rsidRPr="003D73BB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  <w:t>Classified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A5471C">
      <w:rPr>
        <w:noProof/>
        <w:color w:val="000000"/>
      </w:rPr>
      <w:drawing>
        <wp:inline distT="0" distB="0" distL="0" distR="0" wp14:anchorId="40892BD7" wp14:editId="6963A69A">
          <wp:extent cx="2522543" cy="701262"/>
          <wp:effectExtent l="0" t="0" r="0" b="0"/>
          <wp:docPr id="1653440607" name="image1.png" descr="Obraz zawierający Czcionka, Grafika, logo, projekt graficzny&#10;&#10;Zawartość wygenerowana przez sztuczną inteligencję może być niepoprawna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Czcionka, Grafika, logo, projekt graficzny&#10;&#10;Zawartość wygenerowana przez sztuczną inteligencję może być niepoprawna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22543" cy="70126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A5471C">
      <w:rPr>
        <w:color w:val="000000"/>
      </w:rPr>
      <w:tab/>
    </w:r>
    <w:r w:rsidR="00A5471C">
      <w:rPr>
        <w:color w:val="000000"/>
      </w:rPr>
      <w:tab/>
    </w:r>
    <w:r w:rsidR="00A5471C">
      <w:rPr>
        <w:noProof/>
        <w:color w:val="000000"/>
      </w:rPr>
      <w:drawing>
        <wp:inline distT="0" distB="0" distL="0" distR="0" wp14:anchorId="2EFB576F" wp14:editId="7B560FF8">
          <wp:extent cx="2335599" cy="580180"/>
          <wp:effectExtent l="0" t="0" r="0" b="0"/>
          <wp:docPr id="165344060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5599" cy="5801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C4B791" w14:textId="7291A335" w:rsidR="003D73BB" w:rsidRDefault="003D73BB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82F1D84" wp14:editId="1391E439">
              <wp:simplePos x="635" y="635"/>
              <wp:positionH relativeFrom="page">
                <wp:align>left</wp:align>
              </wp:positionH>
              <wp:positionV relativeFrom="page">
                <wp:align>top</wp:align>
              </wp:positionV>
              <wp:extent cx="777875" cy="352425"/>
              <wp:effectExtent l="0" t="0" r="3175" b="9525"/>
              <wp:wrapNone/>
              <wp:docPr id="989496290" name="Text Box 1" descr="Classifi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875" cy="3524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7E41A2C" w14:textId="14CCE5A0" w:rsidR="003D73BB" w:rsidRPr="003D73BB" w:rsidRDefault="003D73BB" w:rsidP="003D73BB">
                          <w:pPr>
                            <w:spacing w:after="0"/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3D73BB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20"/>
                              <w:szCs w:val="20"/>
                            </w:rPr>
                            <w:t>Classified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82F1D8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alt="Classified" style="position:absolute;margin-left:0;margin-top:0;width:61.25pt;height:27.75pt;z-index:251658240;visibility:visible;mso-wrap-style:none;mso-wrap-distance-left:0;mso-wrap-distance-top:0;mso-wrap-distance-right:0;mso-wrap-distance-bottom:0;mso-position-horizontal:lef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" filled="f" stroked="f">
              <v:fill o:detectmouseclick="t"/>
              <v:textbox style="mso-fit-shape-to-text:t" inset="20pt,15pt,0,0">
                <w:txbxContent>
                  <w:p w14:paraId="47E41A2C" w14:textId="14CCE5A0" w:rsidR="003D73BB" w:rsidRPr="003D73BB" w:rsidRDefault="003D73BB" w:rsidP="003D73BB">
                    <w:pPr>
                      <w:spacing w:after="0"/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</w:pPr>
                    <w:r w:rsidRPr="003D73BB">
                      <w:rPr>
                        <w:rFonts w:ascii="Aptos" w:eastAsia="Aptos" w:hAnsi="Aptos" w:cs="Aptos"/>
                        <w:noProof/>
                        <w:color w:val="000000"/>
                        <w:sz w:val="20"/>
                        <w:szCs w:val="20"/>
                      </w:rPr>
                      <w:t>Classified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0865F5"/>
    <w:multiLevelType w:val="multilevel"/>
    <w:tmpl w:val="5CA2501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6402AA"/>
    <w:multiLevelType w:val="multilevel"/>
    <w:tmpl w:val="B37AEBC4"/>
    <w:lvl w:ilvl="0">
      <w:start w:val="1"/>
      <w:numFmt w:val="bullet"/>
      <w:pStyle w:val="WyliczenieMBridge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07A39ED"/>
    <w:multiLevelType w:val="multilevel"/>
    <w:tmpl w:val="DF44DB48"/>
    <w:lvl w:ilvl="0">
      <w:start w:val="1"/>
      <w:numFmt w:val="decimal"/>
      <w:pStyle w:val="WypunktowanieMBridg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5C7958D7"/>
    <w:multiLevelType w:val="multilevel"/>
    <w:tmpl w:val="F7EE16A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2C97E9C"/>
    <w:multiLevelType w:val="multilevel"/>
    <w:tmpl w:val="0CDA71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140344873">
    <w:abstractNumId w:val="1"/>
  </w:num>
  <w:num w:numId="2" w16cid:durableId="11617953">
    <w:abstractNumId w:val="4"/>
  </w:num>
  <w:num w:numId="3" w16cid:durableId="1986351120">
    <w:abstractNumId w:val="0"/>
  </w:num>
  <w:num w:numId="4" w16cid:durableId="1336415115">
    <w:abstractNumId w:val="3"/>
  </w:num>
  <w:num w:numId="5" w16cid:durableId="723602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53E8"/>
    <w:rsid w:val="001F66C1"/>
    <w:rsid w:val="00253843"/>
    <w:rsid w:val="003D73BB"/>
    <w:rsid w:val="00A43F08"/>
    <w:rsid w:val="00A5471C"/>
    <w:rsid w:val="00D216E7"/>
    <w:rsid w:val="00EC3FD6"/>
    <w:rsid w:val="00FF53E8"/>
    <w:rsid w:val="051A2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75097E"/>
  <w15:docId w15:val="{A7B79F6C-BA70-4C95-B94A-8C5AC8439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customStyle="1" w:styleId="Ulatytu">
    <w:name w:val="Ula_tytuł"/>
    <w:autoRedefine/>
    <w:qFormat/>
    <w:rsid w:val="00DD00FA"/>
    <w:pPr>
      <w:shd w:val="clear" w:color="auto" w:fill="FFFFFF"/>
      <w:spacing w:after="240" w:line="360" w:lineRule="auto"/>
      <w:jc w:val="center"/>
      <w:outlineLvl w:val="4"/>
    </w:pPr>
    <w:rPr>
      <w:rFonts w:asciiTheme="majorHAnsi" w:eastAsia="Times New Roman" w:hAnsiTheme="majorHAnsi" w:cstheme="majorHAnsi"/>
      <w:b/>
      <w:bCs/>
    </w:rPr>
  </w:style>
  <w:style w:type="character" w:customStyle="1" w:styleId="BoldMBridge">
    <w:name w:val="Bold_MBridge"/>
    <w:basedOn w:val="DefaultParagraphFont"/>
    <w:uiPriority w:val="1"/>
    <w:qFormat/>
    <w:rsid w:val="00207ED8"/>
  </w:style>
  <w:style w:type="paragraph" w:customStyle="1" w:styleId="H1MBridge">
    <w:name w:val="H1_MBridge"/>
    <w:qFormat/>
    <w:rsid w:val="00C173F8"/>
    <w:pPr>
      <w:spacing w:after="240" w:line="240" w:lineRule="auto"/>
    </w:pPr>
    <w:rPr>
      <w:rFonts w:asciiTheme="majorHAnsi" w:hAnsiTheme="majorHAnsi" w:cstheme="majorHAnsi"/>
      <w:b/>
      <w:bCs/>
      <w:sz w:val="32"/>
      <w:szCs w:val="32"/>
    </w:rPr>
  </w:style>
  <w:style w:type="paragraph" w:customStyle="1" w:styleId="H2MBridge">
    <w:name w:val="H2_MBridge"/>
    <w:qFormat/>
    <w:rsid w:val="003C78D2"/>
    <w:pPr>
      <w:spacing w:before="360" w:after="240" w:line="240" w:lineRule="auto"/>
    </w:pPr>
    <w:rPr>
      <w:rFonts w:asciiTheme="majorHAnsi" w:hAnsiTheme="majorHAnsi" w:cstheme="majorHAnsi"/>
      <w:b/>
      <w:bCs/>
      <w:sz w:val="28"/>
      <w:szCs w:val="28"/>
    </w:rPr>
  </w:style>
  <w:style w:type="paragraph" w:customStyle="1" w:styleId="H3MBridge">
    <w:name w:val="H3_MBridge"/>
    <w:autoRedefine/>
    <w:qFormat/>
    <w:rsid w:val="00207ED8"/>
    <w:pPr>
      <w:spacing w:after="240" w:line="240" w:lineRule="auto"/>
    </w:pPr>
    <w:rPr>
      <w:rFonts w:asciiTheme="majorHAnsi" w:hAnsiTheme="majorHAnsi" w:cstheme="majorHAnsi"/>
      <w:b/>
    </w:rPr>
  </w:style>
  <w:style w:type="character" w:customStyle="1" w:styleId="KursywaMBridge">
    <w:name w:val="Kursywa_MBridge"/>
    <w:basedOn w:val="DefaultParagraphFont"/>
    <w:uiPriority w:val="1"/>
    <w:qFormat/>
    <w:rsid w:val="003C78D2"/>
    <w:rPr>
      <w:i/>
      <w:iCs/>
    </w:rPr>
  </w:style>
  <w:style w:type="paragraph" w:customStyle="1" w:styleId="LeadMBridge">
    <w:name w:val="Lead_MBridge"/>
    <w:qFormat/>
    <w:rsid w:val="00D7374E"/>
    <w:pPr>
      <w:spacing w:after="240" w:line="360" w:lineRule="auto"/>
      <w:jc w:val="both"/>
    </w:pPr>
    <w:rPr>
      <w:rFonts w:asciiTheme="majorHAnsi" w:hAnsiTheme="majorHAnsi" w:cstheme="majorHAnsi"/>
      <w:b/>
      <w:bCs/>
    </w:rPr>
  </w:style>
  <w:style w:type="paragraph" w:customStyle="1" w:styleId="MetaMBridge">
    <w:name w:val="Meta_MBridge"/>
    <w:qFormat/>
    <w:rsid w:val="00D7374E"/>
    <w:pPr>
      <w:spacing w:after="240" w:line="360" w:lineRule="auto"/>
    </w:pPr>
    <w:rPr>
      <w:rFonts w:asciiTheme="majorHAnsi" w:hAnsiTheme="majorHAnsi" w:cstheme="majorHAnsi"/>
    </w:rPr>
  </w:style>
  <w:style w:type="paragraph" w:customStyle="1" w:styleId="NormalnyMBridge">
    <w:name w:val="Normalny_MBridge"/>
    <w:autoRedefine/>
    <w:qFormat/>
    <w:rsid w:val="00EE3442"/>
    <w:pPr>
      <w:spacing w:after="240" w:line="276" w:lineRule="auto"/>
      <w:jc w:val="both"/>
    </w:pPr>
    <w:rPr>
      <w:rFonts w:asciiTheme="majorHAnsi" w:hAnsiTheme="majorHAnsi" w:cstheme="majorHAnsi"/>
      <w:lang w:val="en-US"/>
    </w:rPr>
  </w:style>
  <w:style w:type="paragraph" w:customStyle="1" w:styleId="WyliczenieMBridge">
    <w:name w:val="Wyliczenie_MBridge"/>
    <w:basedOn w:val="ListParagraph"/>
    <w:qFormat/>
    <w:rsid w:val="00514208"/>
    <w:pPr>
      <w:numPr>
        <w:numId w:val="1"/>
      </w:numPr>
      <w:spacing w:after="240" w:line="360" w:lineRule="auto"/>
      <w:ind w:left="357" w:hanging="357"/>
      <w:contextualSpacing w:val="0"/>
      <w:jc w:val="both"/>
    </w:pPr>
    <w:rPr>
      <w:rFonts w:asciiTheme="majorHAnsi" w:hAnsiTheme="majorHAnsi" w:cstheme="majorHAnsi"/>
      <w:b/>
      <w:bCs/>
    </w:rPr>
  </w:style>
  <w:style w:type="paragraph" w:styleId="ListParagraph">
    <w:name w:val="List Paragraph"/>
    <w:uiPriority w:val="34"/>
    <w:qFormat/>
    <w:rsid w:val="00D7374E"/>
    <w:pPr>
      <w:ind w:left="720"/>
      <w:contextualSpacing/>
    </w:pPr>
  </w:style>
  <w:style w:type="paragraph" w:customStyle="1" w:styleId="WypunktowanieMBridge">
    <w:name w:val="Wypunktowanie_MBridge"/>
    <w:basedOn w:val="NormalnyMBridge"/>
    <w:qFormat/>
    <w:rsid w:val="00C173F8"/>
    <w:pPr>
      <w:numPr>
        <w:numId w:val="5"/>
      </w:numPr>
      <w:spacing w:line="240" w:lineRule="auto"/>
    </w:pPr>
  </w:style>
  <w:style w:type="paragraph" w:styleId="Header">
    <w:name w:val="header"/>
    <w:link w:val="HeaderChar"/>
    <w:uiPriority w:val="99"/>
    <w:unhideWhenUsed/>
    <w:rsid w:val="001F42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425E"/>
  </w:style>
  <w:style w:type="paragraph" w:styleId="Footer">
    <w:name w:val="footer"/>
    <w:link w:val="FooterChar"/>
    <w:uiPriority w:val="99"/>
    <w:unhideWhenUsed/>
    <w:rsid w:val="001F42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425E"/>
  </w:style>
  <w:style w:type="character" w:styleId="Hyperlink">
    <w:name w:val="Hyperlink"/>
    <w:basedOn w:val="DefaultParagraphFont"/>
    <w:uiPriority w:val="99"/>
    <w:unhideWhenUsed/>
    <w:rsid w:val="0042236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22366"/>
    <w:rPr>
      <w:color w:val="605E5C"/>
      <w:shd w:val="clear" w:color="auto" w:fill="E1DFDD"/>
    </w:rPr>
  </w:style>
  <w:style w:type="paragraph" w:styleId="BalloonText">
    <w:name w:val="Balloon Text"/>
    <w:link w:val="BalloonTextChar"/>
    <w:uiPriority w:val="99"/>
    <w:semiHidden/>
    <w:unhideWhenUsed/>
    <w:rsid w:val="00D737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374E"/>
    <w:rPr>
      <w:rFonts w:ascii="Segoe UI" w:hAnsi="Segoe UI" w:cs="Segoe UI"/>
      <w:sz w:val="18"/>
      <w:szCs w:val="1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8e261bc-26f9-431c-aee5-417a4aea55a5" xsi:nil="true"/>
    <lcf76f155ced4ddcb4097134ff3c332f xmlns="7beb0f4f-5f37-44a7-a077-eea064ea8f7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CJqj2iVeo5vDabsV6vUnUZACAFw==">CgMxLjA4AHIhMWJhTS1lUDVJbDF3a1M4SW8tQW1rd0c2ZWR0M0J2cUx1</go:docsCustomData>
</go:gDocsCustomXmlDataStorage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BA1C486C53964B82AD25EAF7E36E72" ma:contentTypeVersion="16" ma:contentTypeDescription="Create a new document." ma:contentTypeScope="" ma:versionID="cc69843c2e7e7aa7bb58151fb6309013">
  <xsd:schema xmlns:xsd="http://www.w3.org/2001/XMLSchema" xmlns:xs="http://www.w3.org/2001/XMLSchema" xmlns:p="http://schemas.microsoft.com/office/2006/metadata/properties" xmlns:ns2="7beb0f4f-5f37-44a7-a077-eea064ea8f7f" xmlns:ns3="18e261bc-26f9-431c-aee5-417a4aea55a5" targetNamespace="http://schemas.microsoft.com/office/2006/metadata/properties" ma:root="true" ma:fieldsID="0e45efe577206dab77c3dc29c2ffdd5e" ns2:_="" ns3:_="">
    <xsd:import namespace="7beb0f4f-5f37-44a7-a077-eea064ea8f7f"/>
    <xsd:import namespace="18e261bc-26f9-431c-aee5-417a4aea55a5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eb0f4f-5f37-44a7-a077-eea064ea8f7f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Image Tags" ma:readOnly="false" ma:fieldId="{5cf76f15-5ced-4ddc-b409-7134ff3c332f}" ma:taxonomyMulti="true" ma:sspId="82bfcd88-4be3-4a49-9a62-b1f39ccf10b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e261bc-26f9-431c-aee5-417a4aea55a5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792f13fe-4ac6-40b3-a558-b2eb9305521a}" ma:internalName="TaxCatchAll" ma:showField="CatchAllData" ma:web="18e261bc-26f9-431c-aee5-417a4aea55a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2E5BD35-5BE1-4710-B3AC-96E293B63F55}">
  <ds:schemaRefs>
    <ds:schemaRef ds:uri="http://schemas.microsoft.com/office/2006/metadata/properties"/>
    <ds:schemaRef ds:uri="http://schemas.microsoft.com/office/infopath/2007/PartnerControls"/>
    <ds:schemaRef ds:uri="18e261bc-26f9-431c-aee5-417a4aea55a5"/>
    <ds:schemaRef ds:uri="7beb0f4f-5f37-44a7-a077-eea064ea8f7f"/>
  </ds:schemaRefs>
</ds:datastoreItem>
</file>

<file path=customXml/itemProps2.xml><?xml version="1.0" encoding="utf-8"?>
<ds:datastoreItem xmlns:ds="http://schemas.openxmlformats.org/officeDocument/2006/customXml" ds:itemID="{C48D67C8-78E8-4BCB-92D4-B0D5CA419E4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C10F94A0-0066-463D-9A53-8A6C790E67F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970</Words>
  <Characters>5529</Characters>
  <Application>Microsoft Office Word</Application>
  <DocSecurity>0</DocSecurity>
  <Lines>46</Lines>
  <Paragraphs>12</Paragraphs>
  <ScaleCrop>false</ScaleCrop>
  <Company/>
  <LinksUpToDate>false</LinksUpToDate>
  <CharactersWithSpaces>6487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Urszula Żupnik</dc:creator>
  <cp:lastModifiedBy>Dorota Slawinska</cp:lastModifiedBy>
  <cp:revision>4</cp:revision>
  <dcterms:created xsi:type="dcterms:W3CDTF">2026-01-14T14:07:00Z</dcterms:created>
  <dcterms:modified xsi:type="dcterms:W3CDTF">2026-01-14T14:07:00Z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0x010100BFBA1C486C53964B82AD25EAF7E36E72</vt:lpwstr>
  </property>
  <property fmtid="{D5CDD505-2E9C-101B-9397-08002B2CF9AE}" pid="3" name="ClassificationContentMarkingHeaderShapeIds">
    <vt:lpwstr>3afa83e2,6467fc22,1d121c55</vt:lpwstr>
  </property>
  <property fmtid="{D5CDD505-2E9C-101B-9397-08002B2CF9AE}" pid="4" name="ClassificationContentMarkingHeaderFontProps">
    <vt:lpwstr>#000000,10,Aptos</vt:lpwstr>
  </property>
  <property fmtid="{D5CDD505-2E9C-101B-9397-08002B2CF9AE}" pid="5" name="ClassificationContentMarkingHeaderText">
    <vt:lpwstr>Classified</vt:lpwstr>
  </property>
  <property fmtid="{D5CDD505-2E9C-101B-9397-08002B2CF9AE}" pid="6" name="MSIP_Label_00f7727a-510c-40ce-a418-7fdfc8e6513f_Enabled">
    <vt:lpwstr>true</vt:lpwstr>
  </property>
  <property fmtid="{D5CDD505-2E9C-101B-9397-08002B2CF9AE}" pid="7" name="MSIP_Label_00f7727a-510c-40ce-a418-7fdfc8e6513f_SetDate">
    <vt:lpwstr>2026-01-14T14:07:10Z</vt:lpwstr>
  </property>
  <property fmtid="{D5CDD505-2E9C-101B-9397-08002B2CF9AE}" pid="8" name="MSIP_Label_00f7727a-510c-40ce-a418-7fdfc8e6513f_Method">
    <vt:lpwstr>Standard</vt:lpwstr>
  </property>
  <property fmtid="{D5CDD505-2E9C-101B-9397-08002B2CF9AE}" pid="9" name="MSIP_Label_00f7727a-510c-40ce-a418-7fdfc8e6513f_Name">
    <vt:lpwstr>Classified (without encryption)</vt:lpwstr>
  </property>
  <property fmtid="{D5CDD505-2E9C-101B-9397-08002B2CF9AE}" pid="10" name="MSIP_Label_00f7727a-510c-40ce-a418-7fdfc8e6513f_SiteId">
    <vt:lpwstr>75b2f54b-feff-400d-8e0b-67102edb9a23</vt:lpwstr>
  </property>
  <property fmtid="{D5CDD505-2E9C-101B-9397-08002B2CF9AE}" pid="11" name="MSIP_Label_00f7727a-510c-40ce-a418-7fdfc8e6513f_ActionId">
    <vt:lpwstr>5a778ba0-4110-44d7-8b35-1ea7e0d824a0</vt:lpwstr>
  </property>
  <property fmtid="{D5CDD505-2E9C-101B-9397-08002B2CF9AE}" pid="12" name="MSIP_Label_00f7727a-510c-40ce-a418-7fdfc8e6513f_ContentBits">
    <vt:lpwstr>1</vt:lpwstr>
  </property>
  <property fmtid="{D5CDD505-2E9C-101B-9397-08002B2CF9AE}" pid="13" name="MSIP_Label_00f7727a-510c-40ce-a418-7fdfc8e6513f_Tag">
    <vt:lpwstr>10, 3, 0, 2</vt:lpwstr>
  </property>
  <property fmtid="{D5CDD505-2E9C-101B-9397-08002B2CF9AE}" pid="14" name="MediaServiceImageTags">
    <vt:lpwstr/>
  </property>
</Properties>
</file>